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0F" w:rsidRPr="002E590F" w:rsidRDefault="002E590F" w:rsidP="002E590F">
      <w:pPr>
        <w:jc w:val="center"/>
        <w:rPr>
          <w:b/>
          <w:sz w:val="28"/>
          <w:szCs w:val="28"/>
        </w:rPr>
      </w:pPr>
      <w:r w:rsidRPr="002E590F">
        <w:rPr>
          <w:b/>
          <w:sz w:val="28"/>
          <w:szCs w:val="28"/>
        </w:rPr>
        <w:t>Mathe im Dunkeln</w:t>
      </w:r>
    </w:p>
    <w:p w:rsidR="002E590F" w:rsidRDefault="002E590F" w:rsidP="002E590F">
      <w:pPr>
        <w:jc w:val="center"/>
      </w:pPr>
      <w:r>
        <w:t>Eine Methode der Förderung schwacher Schüler</w:t>
      </w:r>
    </w:p>
    <w:p w:rsidR="002E590F" w:rsidRDefault="002E590F" w:rsidP="002E590F"/>
    <w:p w:rsidR="002E590F" w:rsidRDefault="002E590F" w:rsidP="002E590F">
      <w:r>
        <w:t>„Mathe im Dunkeln“ soll Schüler fördern, die sich im Unterricht schlecht konzentrieren können oder nicht motiviert sind. Es sind Schüler, deren Begabung noch nicht erkannt wurde.</w:t>
      </w:r>
    </w:p>
    <w:p w:rsidR="002E590F" w:rsidRDefault="002E590F" w:rsidP="002E590F">
      <w:r>
        <w:t xml:space="preserve">Die Methode haben mein Kollege Bernd </w:t>
      </w:r>
      <w:proofErr w:type="spellStart"/>
      <w:r>
        <w:t>Mentjes</w:t>
      </w:r>
      <w:proofErr w:type="spellEnd"/>
      <w:r>
        <w:t xml:space="preserve"> und ich mit einigen Gruppen von Schülerinnen und Schülern der sechsten Klasse (Quinta) erfolgreich ausprobiert.</w:t>
      </w:r>
    </w:p>
    <w:p w:rsidR="002E590F" w:rsidRDefault="002E590F" w:rsidP="002E590F">
      <w:r>
        <w:t>Jeweils 5 bis 10 Schüler haben wir in einem völlig abgedunkelten Raum in Mathematik unterrichtet. Neben dem Lehrer konnte eine Stehlampe jederzeit angeknipst werden. Durch die Dunkelheit wurden alle optischen Reize ausgeschaltet, was die Konzentration deutlich erhöhte. Die Schüler leisteten in allen relevanten mathematischen Gebieten wesentlich mehr, als im üblichen Klassenverband. Sogar die räumliche Vorstellungskraft ist bei dieser Methode erhöht. Seltsamerweise lindert die Dunkelheit die Angst, Fehler zu machen.</w:t>
      </w:r>
    </w:p>
    <w:p w:rsidR="002E590F" w:rsidRDefault="002E590F" w:rsidP="002E590F">
      <w:r>
        <w:t>Jeder Schüler hatte ein Korkbrett als Tafel vor sich. Auf dem Korkbrett wurden DINA4 Blätter fixiert. Stecknadeln markierten Zeilen zum Schreiben oder auch Punkte zum Zeichnen, so dass in völliger Dunkelheit gerechnet, geschrieben und gezeichnet werden konnte. So lässt sich z.B. eine Gleichung mit einer Variablen im Dunkeln leichter lösen, weil die ganze Gleichung im Kopf gespeichert ist und nicht immer wieder an der Tafel angeschaut werden kann. Manchmal diktierten wir im Dunkeln sogar drei verschiedene Gleichungen, die dann aufgeschrieben und gelöst wurden.</w:t>
      </w:r>
    </w:p>
    <w:p w:rsidR="002E590F" w:rsidRDefault="002E590F" w:rsidP="002E590F">
      <w:r>
        <w:t>Als schönes geometrisches Beispiel sei hier die Konstruktion des Mittelpunktes eines Kreises genannt. Die Schüler mussten selbst eine Strategie entwickeln. Jeder hatte neben dem Korkbrett vor sich ein Wasserglas, drei Stecknadeln und einen Stift. Das Licht wurde gelöscht und jeder sollte im Dunkeln mit Hilfe des Glases einen Kreis zeichnen und sich mit den Stecknadeln drei Punkte auf dem Kreis markieren. Dann wurde das Glas weggenommen. Die Aufgabe war nun, den Mittelpunkt des Kreises so genau wie möglich zu finden und mit dem Stift zu markieren. Danach wurde das Licht angeknipst. Bei mehreren Durchführungen gelang das immer besser. Schließlich sollten die Schüler, wieder im Dunkeln, beschreiben, mit welcher Strategie sie das Ergebnis verbessert hatten. Sie fanden intuitiv die Mittelsenkrechten, auch ohne das Wort zu kennen.</w:t>
      </w:r>
      <w:r w:rsidRPr="006241EB">
        <w:t xml:space="preserve"> </w:t>
      </w:r>
    </w:p>
    <w:p w:rsidR="002E590F" w:rsidRDefault="002E590F" w:rsidP="002E590F">
      <w:r>
        <w:t>Der WDR hat eine Stunde mit Infrarotkameras aufgenommen und in der „Lokalzeit“ Aachen gesendet.</w:t>
      </w:r>
    </w:p>
    <w:p w:rsidR="002E590F" w:rsidRDefault="002E590F" w:rsidP="002E590F">
      <w:r>
        <w:t xml:space="preserve">Zur weiteren Beschreibung von „Mathe im Dunkeln“ gebe ich einen Artikel wieder, den Herr </w:t>
      </w:r>
      <w:proofErr w:type="spellStart"/>
      <w:r>
        <w:t>Mentjes</w:t>
      </w:r>
      <w:proofErr w:type="spellEnd"/>
      <w:r>
        <w:t xml:space="preserve"> für die Zeitschrift PM geschrieben hat. Vorher noch ein Hinweis zur Durchführung des Projektes:</w:t>
      </w:r>
    </w:p>
    <w:p w:rsidR="002E590F" w:rsidRDefault="002E590F" w:rsidP="002E590F">
      <w:r>
        <w:t xml:space="preserve">Ein ganz verdunkelter Raum steht nicht überall zur Verfügung. Kollegen haben daher vorgeschlagen, geschwärzte Schwimmbrillen als Alternative zu verwenden. Das hat Vor- und </w:t>
      </w:r>
      <w:r>
        <w:lastRenderedPageBreak/>
        <w:t>Nachteile. Es lohnt sich, das auszuprobieren. Im verdunkelten Raum sind Schüler und Lehrer gleichzeitig sehend oder nicht sehend. Die Situation ist spannend. Die dunklen Brillen wären dann günstiger, wenn einer oder einige sehen sollen, die anderen aber nicht. Dazu das Beispiel 4 unten: Ein Schüler stellt sich eine Figur vor – etwa ein Schiff – die er beschreibt, ohne sie zu benennen. Die anderen zeichnen die Figur im Dunkeln (mit Brille) nach der Beschreibung. Wenn nun der beschreibende Schüler als einziger sieht, bekommt er direkte Rückmeldungen aus den Zeichnungen der Mitschüler. Das würde seine Beschreibungsfähigkeit verbessern.</w:t>
      </w:r>
    </w:p>
    <w:p w:rsidR="002E590F" w:rsidRDefault="002E590F" w:rsidP="002E590F">
      <w:r>
        <w:t>****************************************************************************************</w:t>
      </w:r>
      <w:bookmarkStart w:id="0" w:name="_GoBack"/>
      <w:bookmarkEnd w:id="0"/>
    </w:p>
    <w:p w:rsidR="002E590F" w:rsidRDefault="002E590F" w:rsidP="002E590F">
      <w:pPr>
        <w:pStyle w:val="Kopfzeile"/>
      </w:pPr>
      <w:r>
        <w:rPr>
          <w:b/>
          <w:bCs/>
          <w:i/>
          <w:iCs/>
          <w:noProof/>
          <w:sz w:val="20"/>
        </w:rPr>
        <mc:AlternateContent>
          <mc:Choice Requires="wps">
            <w:drawing>
              <wp:anchor distT="0" distB="0" distL="114300" distR="114300" simplePos="0" relativeHeight="251659264" behindDoc="0" locked="0" layoutInCell="1" allowOverlap="1">
                <wp:simplePos x="0" y="0"/>
                <wp:positionH relativeFrom="column">
                  <wp:posOffset>1460500</wp:posOffset>
                </wp:positionH>
                <wp:positionV relativeFrom="paragraph">
                  <wp:posOffset>-7620</wp:posOffset>
                </wp:positionV>
                <wp:extent cx="2524125" cy="559435"/>
                <wp:effectExtent l="293370" t="31115" r="11430" b="2857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24125" cy="559435"/>
                        </a:xfrm>
                        <a:prstGeom prst="rect">
                          <a:avLst/>
                        </a:prstGeom>
                      </wps:spPr>
                      <wps:txbx>
                        <w:txbxContent>
                          <w:p w:rsidR="002E590F" w:rsidRDefault="002E590F" w:rsidP="002E590F">
                            <w:pPr>
                              <w:pStyle w:val="StandardWeb"/>
                              <w:spacing w:before="0" w:beforeAutospacing="0" w:after="0" w:afterAutospacing="0"/>
                              <w:jc w:val="center"/>
                            </w:pPr>
                            <w:r w:rsidRPr="002E590F">
                              <w:rPr>
                                <w:rFonts w:ascii="Arial Black" w:hAnsi="Arial Black"/>
                                <w:color w:val="A603AB"/>
                                <w:sz w:val="40"/>
                                <w:szCs w:val="40"/>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Mathe im Dunkeln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15pt;margin-top:-.6pt;width:198.7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" filled="f" stroked="f">
                <o:lock v:ext="edit" shapetype="t"/>
                <v:textbox style="mso-fit-shape-to-text:t">
                  <w:txbxContent>
                    <w:p w:rsidR="002E590F" w:rsidRDefault="002E590F" w:rsidP="002E590F">
                      <w:pPr>
                        <w:pStyle w:val="StandardWeb"/>
                        <w:spacing w:before="0" w:beforeAutospacing="0" w:after="0" w:afterAutospacing="0"/>
                        <w:jc w:val="center"/>
                      </w:pPr>
                      <w:r w:rsidRPr="002E590F">
                        <w:rPr>
                          <w:rFonts w:ascii="Arial Black" w:hAnsi="Arial Black"/>
                          <w:color w:val="A603AB"/>
                          <w:sz w:val="40"/>
                          <w:szCs w:val="40"/>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Mathe im Dunkeln</w:t>
                      </w:r>
                    </w:p>
                  </w:txbxContent>
                </v:textbox>
              </v:shape>
            </w:pict>
          </mc:Fallback>
        </mc:AlternateContent>
      </w:r>
      <w:r>
        <w:t xml:space="preserve">Bernd Rüdiger </w:t>
      </w:r>
      <w:proofErr w:type="spellStart"/>
      <w:r>
        <w:t>Mentjes</w:t>
      </w:r>
      <w:proofErr w:type="spellEnd"/>
      <w:r>
        <w:t xml:space="preserve"> </w:t>
      </w:r>
      <w:r>
        <w:tab/>
      </w:r>
      <w:r>
        <w:tab/>
      </w:r>
      <w:r>
        <w:tab/>
      </w:r>
      <w:r>
        <w:tab/>
      </w:r>
      <w:r>
        <w:tab/>
      </w:r>
      <w:r>
        <w:tab/>
      </w:r>
      <w:r>
        <w:tab/>
        <w:t>Aachen, 20. August 2000</w:t>
      </w:r>
    </w:p>
    <w:p w:rsidR="002E590F" w:rsidRDefault="002E590F" w:rsidP="002E590F"/>
    <w:p w:rsidR="009F46D6" w:rsidRDefault="009F46D6"/>
    <w:p w:rsidR="002E590F" w:rsidRDefault="002E590F"/>
    <w:p w:rsidR="002E590F" w:rsidRDefault="002E590F"/>
    <w:p w:rsidR="002E590F" w:rsidRDefault="002E590F" w:rsidP="002E590F">
      <w:r>
        <w:t>"</w:t>
      </w:r>
      <w:r>
        <w:rPr>
          <w:b/>
          <w:bCs/>
        </w:rPr>
        <w:t>Mathe im Dunkeln</w:t>
      </w:r>
      <w:r>
        <w:t>, was ist das denn?" - Mit dieser Frage wurden wir (</w:t>
      </w:r>
      <w:r>
        <w:rPr>
          <w:rFonts w:cs="Arial"/>
        </w:rPr>
        <w:t>Dr. Martin Gebhardt</w:t>
      </w:r>
      <w:r>
        <w:t xml:space="preserve"> und </w:t>
      </w:r>
      <w:r>
        <w:rPr>
          <w:rFonts w:cs="Arial"/>
        </w:rPr>
        <w:t>ich</w:t>
      </w:r>
      <w:r>
        <w:t xml:space="preserve">) bereits des </w:t>
      </w:r>
      <w:proofErr w:type="spellStart"/>
      <w:proofErr w:type="gramStart"/>
      <w:r>
        <w:t>öfteren</w:t>
      </w:r>
      <w:proofErr w:type="spellEnd"/>
      <w:proofErr w:type="gramEnd"/>
      <w:r>
        <w:t xml:space="preserve"> konfrontiert. Und in der Tat, der Name klingt zuerst einmal nur wi</w:t>
      </w:r>
      <w:r>
        <w:t>t</w:t>
      </w:r>
      <w:r>
        <w:t xml:space="preserve">zig, doch verbirgt sich dahinter ein wohlüberlegtes Konzept, das im </w:t>
      </w:r>
      <w:proofErr w:type="spellStart"/>
      <w:proofErr w:type="gramStart"/>
      <w:r>
        <w:t>folge</w:t>
      </w:r>
      <w:r>
        <w:t>n</w:t>
      </w:r>
      <w:r>
        <w:t>den</w:t>
      </w:r>
      <w:proofErr w:type="spellEnd"/>
      <w:proofErr w:type="gramEnd"/>
      <w:r>
        <w:t xml:space="preserve"> kurz erläutert werden soll.</w:t>
      </w:r>
    </w:p>
    <w:p w:rsidR="002E590F" w:rsidRDefault="002E590F" w:rsidP="002E590F">
      <w:r>
        <w:rPr>
          <w:b/>
          <w:bCs/>
        </w:rPr>
        <w:t>Mathe im Dunkeln</w:t>
      </w:r>
      <w:r>
        <w:t xml:space="preserve"> ist eine Arbeitsgemeinschaft (AG) an der </w:t>
      </w:r>
      <w:r>
        <w:rPr>
          <w:rFonts w:cs="Arial"/>
        </w:rPr>
        <w:t>Viktoriaschule in Aachen</w:t>
      </w:r>
      <w:r>
        <w:t>. An dieser AG nehmen Schüler(innen) der sechsten Klassen teil, deren mathematische B</w:t>
      </w:r>
      <w:r>
        <w:t>e</w:t>
      </w:r>
      <w:r>
        <w:t>gabungen bisher noch nicht besonders aufgefallen sind. Voraussetzung dafür ist einerseits eine Mathem</w:t>
      </w:r>
      <w:r>
        <w:t>a</w:t>
      </w:r>
      <w:r>
        <w:t>tiknote im Bereich von „befriedigend“ und „ausreichend“ und andere</w:t>
      </w:r>
      <w:r>
        <w:t>r</w:t>
      </w:r>
      <w:r>
        <w:t>seits der erklärte Wille der Schüler(innen), sich 45 Minuten in der Woche konzentriert mit M</w:t>
      </w:r>
      <w:r>
        <w:t>a</w:t>
      </w:r>
      <w:r>
        <w:t xml:space="preserve">thematik befassen zu wollen. </w:t>
      </w:r>
    </w:p>
    <w:p w:rsidR="002E590F" w:rsidRDefault="002E590F" w:rsidP="002E590F">
      <w:r>
        <w:t>Die konkrete Umsetzung sieht so aus, dass vor den Teilnehmern der AG in einem völlig abg</w:t>
      </w:r>
      <w:r>
        <w:t>e</w:t>
      </w:r>
      <w:r>
        <w:t>dunkelten Raum ein Korkbrett, ein darauf mit Reißnägeln befestigtes Blatt Papier, einige ve</w:t>
      </w:r>
      <w:r>
        <w:t>r</w:t>
      </w:r>
      <w:r>
        <w:t>schiedenfarbige Stifte, ein Geodreieck und ein Würfel liegen. Nun lösen die Schüler(innen) Au</w:t>
      </w:r>
      <w:r>
        <w:t>f</w:t>
      </w:r>
      <w:r>
        <w:t>gaben aus verschiedensten mathematischen Bereichen, wobei sie zeichnen(!), schreiben, den Wü</w:t>
      </w:r>
      <w:r>
        <w:t>r</w:t>
      </w:r>
      <w:r>
        <w:t>fel und die Stifte benu</w:t>
      </w:r>
      <w:r>
        <w:t>t</w:t>
      </w:r>
      <w:r>
        <w:t xml:space="preserve">zen etc. </w:t>
      </w:r>
    </w:p>
    <w:p w:rsidR="002E590F" w:rsidRDefault="002E590F" w:rsidP="002E590F">
      <w:r>
        <w:t>Hierbei – und das ist die Idee hinter diesem Konzept – bietet die Dunkelheit einige Vorteile g</w:t>
      </w:r>
      <w:r>
        <w:t>e</w:t>
      </w:r>
      <w:r>
        <w:t>genüber "normalem" Unterricht:</w:t>
      </w:r>
    </w:p>
    <w:p w:rsidR="002E590F" w:rsidRDefault="002E590F" w:rsidP="002E590F">
      <w:pPr>
        <w:numPr>
          <w:ilvl w:val="0"/>
          <w:numId w:val="1"/>
        </w:numPr>
      </w:pPr>
      <w:r>
        <w:t>Die Schüler(innen) können sich auf die mathematischen Fragen konzentrieren, denn sie lenken einander weniger ab.</w:t>
      </w:r>
    </w:p>
    <w:p w:rsidR="002E590F" w:rsidRDefault="002E590F" w:rsidP="002E590F">
      <w:pPr>
        <w:numPr>
          <w:ilvl w:val="0"/>
          <w:numId w:val="1"/>
        </w:numPr>
      </w:pPr>
      <w:r>
        <w:t>Die Schüler(innen) können sich auf die mathematischen Fragen anders konzentrieren, da der Zugang zu den mathematischen Fragen keineswegs visuell erfolgt. Vieles spielt sich innerhalb "idealer Bilder" im Gehirn ab. Somit werden die Konzentration und die Imag</w:t>
      </w:r>
      <w:r>
        <w:t>i</w:t>
      </w:r>
      <w:r>
        <w:t>nation der Schüler(innen) in besond</w:t>
      </w:r>
      <w:r>
        <w:t>e</w:t>
      </w:r>
      <w:r>
        <w:t>rer Weise angesprochen.</w:t>
      </w:r>
    </w:p>
    <w:p w:rsidR="002E590F" w:rsidRDefault="002E590F" w:rsidP="002E590F">
      <w:pPr>
        <w:numPr>
          <w:ilvl w:val="0"/>
          <w:numId w:val="1"/>
        </w:numPr>
      </w:pPr>
      <w:r>
        <w:lastRenderedPageBreak/>
        <w:t>Wenn die Schüler(innen) Sachverhalte beschreiben sollen, tun sie dies allein mit Worten, also ohne Hände, ohne Skizzen etc. Als einziges Medium gilt die Sprache, eine Herau</w:t>
      </w:r>
      <w:r>
        <w:t>s</w:t>
      </w:r>
      <w:r>
        <w:t xml:space="preserve">forderung, die die Schüler(innen) zwingt, in ihren Formulierungen exakt und präzise zu sein. </w:t>
      </w:r>
    </w:p>
    <w:p w:rsidR="002E590F" w:rsidRDefault="002E590F" w:rsidP="002E590F">
      <w:pPr>
        <w:tabs>
          <w:tab w:val="clear" w:pos="709"/>
        </w:tabs>
      </w:pPr>
      <w:r>
        <w:t>Das Ziel dieses Konzepts ist also einerseits darin zu sehen, dass die mathematischen Fähigkeiten der Schüler(innen) durch einen anderen Zugang und durch Ausschaltung b</w:t>
      </w:r>
      <w:r>
        <w:t>e</w:t>
      </w:r>
      <w:r>
        <w:t>stimmter störender Effekte stärker gefördert werden. Andererseits sollte auch der Aspekt der Motivation nicht g</w:t>
      </w:r>
      <w:r>
        <w:t>e</w:t>
      </w:r>
      <w:r>
        <w:t>ringgeschätzt werden. Allein die Frage, wie man in einem abgedunkelten Raum M</w:t>
      </w:r>
      <w:r>
        <w:t>a</w:t>
      </w:r>
      <w:r>
        <w:t xml:space="preserve">thematik betreiben könne, interessiert die Schüler(innen) sehr. </w:t>
      </w:r>
    </w:p>
    <w:p w:rsidR="002E590F" w:rsidRDefault="002E590F" w:rsidP="002E590F">
      <w:r>
        <w:t>An einigen kurzen Beispielen sei weiter verdeutlicht, in welcher Form wir das o.g. Konzept ve</w:t>
      </w:r>
      <w:r>
        <w:t>r</w:t>
      </w:r>
      <w:r>
        <w:t>sucht haben umzusetzen [alle Beispiele für Schüler(innen) einer Klasse 6]</w:t>
      </w:r>
      <w:r>
        <w:rPr>
          <w:rStyle w:val="Funotenzeichen"/>
        </w:rPr>
        <w:footnoteReference w:id="1"/>
      </w:r>
      <w:r>
        <w:t>:</w:t>
      </w:r>
    </w:p>
    <w:p w:rsidR="002E590F" w:rsidRDefault="002E590F" w:rsidP="002E590F">
      <w:pPr>
        <w:numPr>
          <w:ilvl w:val="0"/>
          <w:numId w:val="3"/>
        </w:numPr>
        <w:spacing w:line="240" w:lineRule="auto"/>
        <w:ind w:left="714" w:hanging="357"/>
        <w:rPr>
          <w:b/>
          <w:bCs/>
          <w:sz w:val="22"/>
        </w:rPr>
      </w:pPr>
      <w:r>
        <w:rPr>
          <w:b/>
          <w:bCs/>
          <w:sz w:val="22"/>
        </w:rPr>
        <w:t>Beispiel 1</w:t>
      </w:r>
    </w:p>
    <w:p w:rsidR="002E590F" w:rsidRDefault="002E590F" w:rsidP="002E590F">
      <w:pPr>
        <w:pStyle w:val="Textkrper-Einzug2"/>
        <w:keepNext w:val="0"/>
        <w:spacing w:line="240" w:lineRule="auto"/>
        <w:rPr>
          <w:sz w:val="22"/>
        </w:rPr>
      </w:pPr>
      <w:r>
        <w:rPr>
          <w:sz w:val="22"/>
        </w:rPr>
        <w:t>Diese Übung wird von uns gerne zu Anfang einer Einheit eingesetzt, da sie die Schüler(innen) mit r</w:t>
      </w:r>
      <w:r>
        <w:rPr>
          <w:sz w:val="22"/>
        </w:rPr>
        <w:t>e</w:t>
      </w:r>
      <w:r>
        <w:rPr>
          <w:sz w:val="22"/>
        </w:rPr>
        <w:t xml:space="preserve">lativ einfachen Aufgaben dazu bringt sich zu konzentrieren. Anfangs beginnt ein Lehrer mit der </w:t>
      </w:r>
      <w:r>
        <w:rPr>
          <w:sz w:val="22"/>
        </w:rPr>
        <w:t>Ü</w:t>
      </w:r>
      <w:r>
        <w:rPr>
          <w:sz w:val="22"/>
        </w:rPr>
        <w:t>bung, in späteren Einheiten übernehmen dies zunehmend die Schüler(innen): Die ersten Glieder einer Zahlenfolge werden genannt, und sobald jemand weiß, wie die Folge fortzusetzen ist, fällt er mit ein und spricht die weiteren Folgeglieder mit (bis schließlich alle die Folgeglieder sprechen): z.B. „2“ - (Pause) – „4“ – (Pause) – „6“ – (Pause) – „8“ – etc. Anschließend führt ein Schüler in Worten aus, welches Bildungsgesetz hinter der jeweiligen Folge steckt</w:t>
      </w:r>
      <w:r>
        <w:rPr>
          <w:rStyle w:val="Funotenzeichen"/>
          <w:sz w:val="22"/>
        </w:rPr>
        <w:footnoteReference w:id="2"/>
      </w:r>
      <w:r>
        <w:rPr>
          <w:sz w:val="22"/>
        </w:rPr>
        <w:t>. Im weiteren Verlauf der AG kann die Schwierigkeit sukzessive g</w:t>
      </w:r>
      <w:r>
        <w:rPr>
          <w:sz w:val="22"/>
        </w:rPr>
        <w:t>e</w:t>
      </w:r>
      <w:r>
        <w:rPr>
          <w:sz w:val="22"/>
        </w:rPr>
        <w:t>steigert werden (z.B. 3,5,8,12,... oder auch 20,19,17,14,10,5,-1,-8,-16,...).</w:t>
      </w:r>
    </w:p>
    <w:p w:rsidR="002E590F" w:rsidRDefault="002E590F" w:rsidP="002E590F">
      <w:pPr>
        <w:numPr>
          <w:ilvl w:val="0"/>
          <w:numId w:val="3"/>
        </w:numPr>
        <w:spacing w:line="240" w:lineRule="auto"/>
        <w:ind w:left="714" w:hanging="357"/>
        <w:rPr>
          <w:b/>
          <w:bCs/>
          <w:sz w:val="22"/>
        </w:rPr>
      </w:pPr>
      <w:r>
        <w:rPr>
          <w:b/>
          <w:bCs/>
          <w:sz w:val="22"/>
        </w:rPr>
        <w:t>Beispiel 2</w:t>
      </w:r>
    </w:p>
    <w:p w:rsidR="002E590F" w:rsidRDefault="002E590F" w:rsidP="002E590F">
      <w:pPr>
        <w:tabs>
          <w:tab w:val="clear" w:pos="709"/>
        </w:tabs>
        <w:spacing w:line="240" w:lineRule="auto"/>
        <w:ind w:left="357"/>
        <w:rPr>
          <w:sz w:val="22"/>
        </w:rPr>
      </w:pPr>
      <w:r>
        <w:rPr>
          <w:sz w:val="22"/>
        </w:rPr>
        <w:t>Der Lehrer fordert die Schüler(innen) auf, mit einer bestimmten Farbe die ersten sechs Quadratza</w:t>
      </w:r>
      <w:r>
        <w:rPr>
          <w:sz w:val="22"/>
        </w:rPr>
        <w:t>h</w:t>
      </w:r>
      <w:r>
        <w:rPr>
          <w:sz w:val="22"/>
        </w:rPr>
        <w:t>len nebeneinander in die erste (auf dem Blatt mit einem Pin vorher markierte) Zeile zu schreiben und darunter in einer anderen Farbe jeweils zwischen zwei darüber stehende Zahlen die Differenz. Die Schüler(innen) sollen anschließend ausführen, was ihnen auffällt (dass nämlich die ungeraden Zahlen ab 3 in der zweiten Zeile nebeneinander stehen).</w:t>
      </w:r>
    </w:p>
    <w:p w:rsidR="002E590F" w:rsidRDefault="002E590F" w:rsidP="002E590F">
      <w:pPr>
        <w:numPr>
          <w:ilvl w:val="0"/>
          <w:numId w:val="3"/>
        </w:numPr>
        <w:spacing w:line="240" w:lineRule="auto"/>
        <w:ind w:left="714" w:hanging="357"/>
        <w:rPr>
          <w:b/>
          <w:bCs/>
          <w:sz w:val="22"/>
        </w:rPr>
      </w:pPr>
      <w:r>
        <w:rPr>
          <w:b/>
          <w:bCs/>
          <w:sz w:val="22"/>
        </w:rPr>
        <w:t>Beispiel 3</w:t>
      </w:r>
    </w:p>
    <w:p w:rsidR="002E590F" w:rsidRDefault="002E590F" w:rsidP="002E590F">
      <w:pPr>
        <w:pStyle w:val="Textkrper-Einzug2"/>
        <w:keepNext w:val="0"/>
        <w:spacing w:line="240" w:lineRule="auto"/>
        <w:rPr>
          <w:sz w:val="22"/>
        </w:rPr>
      </w:pPr>
      <w:r>
        <w:rPr>
          <w:sz w:val="22"/>
        </w:rPr>
        <w:t>Vor dem Verdunkeln des Raums legen die Schüler(innen) drei verschiedenfarbige Stifte in einer ve</w:t>
      </w:r>
      <w:r>
        <w:rPr>
          <w:sz w:val="22"/>
        </w:rPr>
        <w:t>r</w:t>
      </w:r>
      <w:r>
        <w:rPr>
          <w:sz w:val="22"/>
        </w:rPr>
        <w:t>einbarten Reihenfolge vor sich auf das Korkbrett. Ein Schüler fordert die Mitschüler z.B. dazu auf, den äußerst links liegenden Stift in die Mitte zu legen, anschli</w:t>
      </w:r>
      <w:r>
        <w:rPr>
          <w:sz w:val="22"/>
        </w:rPr>
        <w:t>e</w:t>
      </w:r>
      <w:r>
        <w:rPr>
          <w:sz w:val="22"/>
        </w:rPr>
        <w:t>ßend den äußerst rechts liegenden nach links etc. Hat der Schüler drei (später kann man die Anzahl erhöhen) solcher Anweisungen gegeben, so sollen die Schüler(innen) jeweils angeben, in welcher Re</w:t>
      </w:r>
      <w:r>
        <w:rPr>
          <w:sz w:val="22"/>
        </w:rPr>
        <w:t>i</w:t>
      </w:r>
      <w:r>
        <w:rPr>
          <w:sz w:val="22"/>
        </w:rPr>
        <w:t xml:space="preserve">henfolge die Stifte jetzt auf dem Korkbrett liegen. Den Schluss dieser Konzentrationsübung, die erfahrungsgemäß großen Spaß bereitet, </w:t>
      </w:r>
      <w:proofErr w:type="gramStart"/>
      <w:r>
        <w:rPr>
          <w:sz w:val="22"/>
        </w:rPr>
        <w:t>bildet</w:t>
      </w:r>
      <w:proofErr w:type="gramEnd"/>
      <w:r>
        <w:rPr>
          <w:sz w:val="22"/>
        </w:rPr>
        <w:t xml:space="preserve"> dann das Anschalten des Lichts und die Präsentation der tatsächlichen Lage der Stifte. Gerade diese Auflösung wurde von den Sch</w:t>
      </w:r>
      <w:r>
        <w:rPr>
          <w:sz w:val="22"/>
        </w:rPr>
        <w:t>ü</w:t>
      </w:r>
      <w:r>
        <w:rPr>
          <w:sz w:val="22"/>
        </w:rPr>
        <w:t xml:space="preserve">ler(innen) mit Spannung erwartet. </w:t>
      </w:r>
    </w:p>
    <w:p w:rsidR="002E590F" w:rsidRDefault="002E590F" w:rsidP="002E590F">
      <w:pPr>
        <w:pStyle w:val="Textkrper-Einzug2"/>
        <w:keepNext w:val="0"/>
        <w:spacing w:line="240" w:lineRule="auto"/>
        <w:rPr>
          <w:sz w:val="22"/>
        </w:rPr>
      </w:pPr>
      <w:r>
        <w:rPr>
          <w:sz w:val="22"/>
        </w:rPr>
        <w:t>Im Anschluss an einige Durchgänge wird das Licht wieder ausgeschaltet und die Sch</w:t>
      </w:r>
      <w:r>
        <w:rPr>
          <w:sz w:val="22"/>
        </w:rPr>
        <w:t>ü</w:t>
      </w:r>
      <w:r>
        <w:rPr>
          <w:sz w:val="22"/>
        </w:rPr>
        <w:t>ler(innen) sollen schätzen, auf wie viele verschiedene Arten die drei Stifte gelegt werden können (Anzahl der Permut</w:t>
      </w:r>
      <w:r>
        <w:rPr>
          <w:sz w:val="22"/>
        </w:rPr>
        <w:t>a</w:t>
      </w:r>
      <w:r>
        <w:rPr>
          <w:sz w:val="22"/>
        </w:rPr>
        <w:t>tionen)</w:t>
      </w:r>
      <w:r>
        <w:rPr>
          <w:rStyle w:val="Funotenzeichen"/>
          <w:sz w:val="22"/>
        </w:rPr>
        <w:footnoteReference w:id="3"/>
      </w:r>
      <w:r>
        <w:rPr>
          <w:sz w:val="22"/>
        </w:rPr>
        <w:t>.</w:t>
      </w:r>
    </w:p>
    <w:p w:rsidR="002E590F" w:rsidRDefault="002E590F" w:rsidP="002E590F">
      <w:pPr>
        <w:pStyle w:val="Textkrper-Einzug2"/>
        <w:keepNext w:val="0"/>
        <w:spacing w:line="240" w:lineRule="auto"/>
        <w:rPr>
          <w:sz w:val="22"/>
        </w:rPr>
      </w:pPr>
    </w:p>
    <w:p w:rsidR="002E590F" w:rsidRDefault="002E590F" w:rsidP="002E590F">
      <w:pPr>
        <w:pStyle w:val="Textkrper-Einzug2"/>
        <w:keepNext w:val="0"/>
        <w:spacing w:line="240" w:lineRule="auto"/>
        <w:rPr>
          <w:sz w:val="22"/>
        </w:rPr>
      </w:pPr>
    </w:p>
    <w:p w:rsidR="002E590F" w:rsidRDefault="002E590F" w:rsidP="002E590F">
      <w:pPr>
        <w:numPr>
          <w:ilvl w:val="0"/>
          <w:numId w:val="3"/>
        </w:numPr>
        <w:spacing w:line="240" w:lineRule="auto"/>
        <w:rPr>
          <w:b/>
          <w:bCs/>
          <w:sz w:val="22"/>
        </w:rPr>
      </w:pPr>
      <w:r>
        <w:rPr>
          <w:b/>
          <w:bCs/>
          <w:sz w:val="22"/>
        </w:rPr>
        <w:lastRenderedPageBreak/>
        <w:t>Beispiel 4</w:t>
      </w:r>
    </w:p>
    <w:p w:rsidR="002E590F" w:rsidRDefault="002E590F" w:rsidP="002E590F">
      <w:pPr>
        <w:pStyle w:val="Textkrper-Einzug3"/>
        <w:spacing w:line="240" w:lineRule="auto"/>
        <w:rPr>
          <w:sz w:val="22"/>
        </w:rPr>
      </w:pPr>
      <w:r>
        <w:rPr>
          <w:sz w:val="22"/>
        </w:rPr>
        <w:t>Die Schüler(innen) sollen nach Ausführungen eines Vortragenden (anfangs eines Lehrers, später e</w:t>
      </w:r>
      <w:r>
        <w:rPr>
          <w:sz w:val="22"/>
        </w:rPr>
        <w:t>i</w:t>
      </w:r>
      <w:r>
        <w:rPr>
          <w:sz w:val="22"/>
        </w:rPr>
        <w:t>nes Schülers) geometrische Figuren zeichnen, und zwar derart, dass der Name dieser Figur nicht genannt wird, sondern diese lediglich durch Anweisungen von der folgenden Form charakterisiert wird: „Zeichne eine etwa 8 cm lange Strecke! Halbiere sie und zeichne über diesem Mittelpunkt der Str</w:t>
      </w:r>
      <w:r>
        <w:rPr>
          <w:sz w:val="22"/>
        </w:rPr>
        <w:t>e</w:t>
      </w:r>
      <w:r>
        <w:rPr>
          <w:sz w:val="22"/>
        </w:rPr>
        <w:t>cke in etwa 4 cm Entfernung einen Punkt P. Verbinde P mit den Endpunkten der Str</w:t>
      </w:r>
      <w:r>
        <w:rPr>
          <w:sz w:val="22"/>
        </w:rPr>
        <w:t>e</w:t>
      </w:r>
      <w:r>
        <w:rPr>
          <w:sz w:val="22"/>
        </w:rPr>
        <w:t>cke!“</w:t>
      </w:r>
    </w:p>
    <w:p w:rsidR="002E590F" w:rsidRDefault="002E590F" w:rsidP="002E590F">
      <w:pPr>
        <w:pStyle w:val="Textkrper-Einzug3"/>
        <w:spacing w:line="240" w:lineRule="auto"/>
        <w:rPr>
          <w:sz w:val="22"/>
        </w:rPr>
      </w:pPr>
      <w:r>
        <w:rPr>
          <w:sz w:val="22"/>
        </w:rPr>
        <w:t>Im Anschluss soll die Figur benannt werden (hier: gleichschenkliges Dreieck)</w:t>
      </w:r>
      <w:r>
        <w:rPr>
          <w:rStyle w:val="Funotenzeichen"/>
          <w:sz w:val="22"/>
        </w:rPr>
        <w:footnoteReference w:id="4"/>
      </w:r>
      <w:r>
        <w:rPr>
          <w:sz w:val="22"/>
        </w:rPr>
        <w:t xml:space="preserve">. </w:t>
      </w:r>
    </w:p>
    <w:p w:rsidR="002E590F" w:rsidRDefault="002E590F" w:rsidP="002E590F">
      <w:pPr>
        <w:tabs>
          <w:tab w:val="clear" w:pos="709"/>
        </w:tabs>
      </w:pPr>
    </w:p>
    <w:p w:rsidR="002E590F" w:rsidRDefault="002E590F" w:rsidP="002E590F">
      <w:pPr>
        <w:tabs>
          <w:tab w:val="clear" w:pos="709"/>
        </w:tabs>
        <w:rPr>
          <w:b/>
          <w:bCs/>
        </w:rPr>
      </w:pPr>
      <w:r>
        <w:t>Auf gesicherte statistische Ergebnisse können wir an dieser Stelle zwar noch nicht zurüc</w:t>
      </w:r>
      <w:r>
        <w:t>k</w:t>
      </w:r>
      <w:r>
        <w:t>greifen, doch lassen sich aus dem Feedback der jeweils zuständigen Mathematikfachle</w:t>
      </w:r>
      <w:r>
        <w:t>h</w:t>
      </w:r>
      <w:r>
        <w:t>rer(innen) recht posit</w:t>
      </w:r>
      <w:r>
        <w:t>i</w:t>
      </w:r>
      <w:r>
        <w:t>ve Schlussfolgerungen ziehen.</w:t>
      </w:r>
    </w:p>
    <w:p w:rsidR="002E590F" w:rsidRDefault="002E590F" w:rsidP="002E590F">
      <w:r>
        <w:t>Wenn Sie Fragen oder</w:t>
      </w:r>
      <w:proofErr w:type="gramStart"/>
      <w:r>
        <w:t>  Kommentare</w:t>
      </w:r>
      <w:proofErr w:type="gramEnd"/>
      <w:r>
        <w:t xml:space="preserve"> haben oder sich aus anderen Gründen mit uns in Verbi</w:t>
      </w:r>
      <w:r>
        <w:t>n</w:t>
      </w:r>
      <w:r>
        <w:t>dung setzen möchten, so schre</w:t>
      </w:r>
      <w:r>
        <w:t>i</w:t>
      </w:r>
      <w:r>
        <w:t>ben Sie bitte an:</w:t>
      </w:r>
    </w:p>
    <w:p w:rsidR="002E590F" w:rsidRDefault="002E590F" w:rsidP="002E590F">
      <w:pPr>
        <w:numPr>
          <w:ilvl w:val="0"/>
          <w:numId w:val="2"/>
        </w:numPr>
      </w:pPr>
      <w:r>
        <w:t xml:space="preserve">per Briefpost: Mathe im Dunkeln, Bernd Rüdiger </w:t>
      </w:r>
      <w:proofErr w:type="spellStart"/>
      <w:r>
        <w:t>Mentjes</w:t>
      </w:r>
      <w:proofErr w:type="spellEnd"/>
      <w:r>
        <w:t>, Vi</w:t>
      </w:r>
      <w:r>
        <w:t>k</w:t>
      </w:r>
      <w:r>
        <w:t>toriaschule, Warmweiherstr. 4-8, 52066 Aachen</w:t>
      </w:r>
    </w:p>
    <w:p w:rsidR="002E590F" w:rsidRDefault="002E590F" w:rsidP="002E590F">
      <w:pPr>
        <w:numPr>
          <w:ilvl w:val="0"/>
          <w:numId w:val="2"/>
        </w:numPr>
      </w:pPr>
      <w:proofErr w:type="gramStart"/>
      <w:r>
        <w:t>per</w:t>
      </w:r>
      <w:proofErr w:type="gramEnd"/>
      <w:r>
        <w:t xml:space="preserve"> Mail: </w:t>
      </w:r>
      <w:smartTag w:uri="urn:schemas-microsoft-com:office:smarttags" w:element="PersonName">
        <w:r>
          <w:t>martin_gebhardt@hotmail.com</w:t>
        </w:r>
      </w:smartTag>
      <w:r w:rsidRPr="002E590F">
        <w:rPr>
          <w:rFonts w:ascii="Arial" w:hAnsi="Arial"/>
        </w:rPr>
        <w:t xml:space="preserve"> </w:t>
      </w:r>
      <w:r>
        <w:t>(</w:t>
      </w:r>
      <w:r w:rsidRPr="002E590F">
        <w:rPr>
          <w:rFonts w:cs="Arial"/>
        </w:rPr>
        <w:t>Dr. Martin Gebhardt</w:t>
      </w:r>
      <w:r>
        <w:t>) oder Bernd.Mentjes@bmentjes.d</w:t>
      </w:r>
      <w:r>
        <w:t>e</w:t>
      </w:r>
      <w:r>
        <w:t xml:space="preserve"> (Bernd Rüdiger </w:t>
      </w:r>
      <w:proofErr w:type="spellStart"/>
      <w:r>
        <w:t>Mentjes</w:t>
      </w:r>
      <w:proofErr w:type="spellEnd"/>
      <w:r>
        <w:t xml:space="preserve">) oder  </w:t>
      </w:r>
      <w:hyperlink r:id="rId7" w:history="1">
        <w:r w:rsidRPr="00D41C2F">
          <w:rPr>
            <w:rStyle w:val="Hyperlink"/>
          </w:rPr>
          <w:t>mentjes@viktoriaschule-aachen.de</w:t>
        </w:r>
      </w:hyperlink>
      <w:r>
        <w:t xml:space="preserve">  Wir würden uns sehr darüber freuen, wenn Sie durch die Beschreibung unseres Konzepts die Lust verspürten, an Ihrer Schule ebenfalls „Mathe im Dunkeln“ betreiben zu wollen. Gerade in diesem Falle wären wir besonders daran interessiert, mit Ihnen einen gedanklichen Au</w:t>
      </w:r>
      <w:r>
        <w:t>s</w:t>
      </w:r>
      <w:r>
        <w:t>tausch führen zu können und unsere Ideen zu erweitern.</w:t>
      </w:r>
    </w:p>
    <w:p w:rsidR="002E590F" w:rsidRDefault="002E590F" w:rsidP="002E590F"/>
    <w:p w:rsidR="002E590F" w:rsidRDefault="002E590F" w:rsidP="002E590F">
      <w:r>
        <w:t xml:space="preserve">Bernd R. </w:t>
      </w:r>
      <w:proofErr w:type="spellStart"/>
      <w:r>
        <w:t>Mentjes</w:t>
      </w:r>
      <w:proofErr w:type="spellEnd"/>
    </w:p>
    <w:p w:rsidR="002E590F" w:rsidRDefault="002E590F"/>
    <w:sectPr w:rsidR="002E590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90F" w:rsidRDefault="002E590F" w:rsidP="002E590F">
      <w:pPr>
        <w:spacing w:line="240" w:lineRule="auto"/>
      </w:pPr>
      <w:r>
        <w:separator/>
      </w:r>
    </w:p>
  </w:endnote>
  <w:endnote w:type="continuationSeparator" w:id="0">
    <w:p w:rsidR="002E590F" w:rsidRDefault="002E590F" w:rsidP="002E5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90F" w:rsidRDefault="002E590F" w:rsidP="002E590F">
      <w:pPr>
        <w:spacing w:line="240" w:lineRule="auto"/>
      </w:pPr>
      <w:r>
        <w:separator/>
      </w:r>
    </w:p>
  </w:footnote>
  <w:footnote w:type="continuationSeparator" w:id="0">
    <w:p w:rsidR="002E590F" w:rsidRDefault="002E590F" w:rsidP="002E590F">
      <w:pPr>
        <w:spacing w:line="240" w:lineRule="auto"/>
      </w:pPr>
      <w:r>
        <w:continuationSeparator/>
      </w:r>
    </w:p>
  </w:footnote>
  <w:footnote w:id="1">
    <w:p w:rsidR="002E590F" w:rsidRDefault="002E590F" w:rsidP="002E590F">
      <w:pPr>
        <w:pStyle w:val="Funotentext"/>
      </w:pPr>
      <w:r>
        <w:rPr>
          <w:rStyle w:val="Funotenzeichen"/>
        </w:rPr>
        <w:footnoteRef/>
      </w:r>
      <w:r>
        <w:t xml:space="preserve"> Bei der Leitung der AG wechselten sich Herr Dr. Gebhardt und ich ab. Teilweise übernahm einer von uns die Leitung der gesamten Stunde, meistens aber ging der Wechsel mit verschiedenen Aufgaben einher.</w:t>
      </w:r>
    </w:p>
  </w:footnote>
  <w:footnote w:id="2">
    <w:p w:rsidR="002E590F" w:rsidRDefault="002E590F" w:rsidP="002E590F">
      <w:pPr>
        <w:pStyle w:val="Funotentext"/>
      </w:pPr>
      <w:r>
        <w:rPr>
          <w:rStyle w:val="Funotenzeichen"/>
        </w:rPr>
        <w:footnoteRef/>
      </w:r>
      <w:r>
        <w:t xml:space="preserve"> Auf das Problem, dass bei einer nur endlichen Zahl von Folgegliedern die Folge keineswegs eindeutig festgelegt ist, kann an dieser Stelle nicht eingegangen werden. Vielmehr setzen wir das intuitive Verständnis „einfacher“ Folgen voraus.</w:t>
      </w:r>
    </w:p>
  </w:footnote>
  <w:footnote w:id="3">
    <w:p w:rsidR="002E590F" w:rsidRDefault="002E590F" w:rsidP="002E590F">
      <w:pPr>
        <w:pStyle w:val="Funotentext"/>
      </w:pPr>
      <w:r>
        <w:rPr>
          <w:rStyle w:val="Funotenzeichen"/>
        </w:rPr>
        <w:footnoteRef/>
      </w:r>
      <w:r>
        <w:t xml:space="preserve"> Es wurden recht häufig 9 und 6 genannt, wobei die Schüler(innen) ihre „Ergebnisse“ begrü</w:t>
      </w:r>
      <w:r>
        <w:t>n</w:t>
      </w:r>
      <w:r>
        <w:t>deten (9 = 3•</w:t>
      </w:r>
      <w:proofErr w:type="gramStart"/>
      <w:r>
        <w:t>3 ;</w:t>
      </w:r>
      <w:proofErr w:type="gramEnd"/>
      <w:r>
        <w:t xml:space="preserve">  6 = 3 +3 ;  aber auch 6 = 3•2•1) und den Mitsch</w:t>
      </w:r>
      <w:r>
        <w:t>ü</w:t>
      </w:r>
      <w:r>
        <w:t>ler(inne)n erläuterten. Zur Prüfung der jeweiligen Aussagen kamen sie häufig von selbst auf die Idee, nicht allein drei Stifte, sondern auch einen und zwei Stifte zu betrachten, den jeweil</w:t>
      </w:r>
      <w:r>
        <w:t>i</w:t>
      </w:r>
      <w:r>
        <w:t>gen Ansatz zu übe</w:t>
      </w:r>
      <w:r>
        <w:t>r</w:t>
      </w:r>
      <w:r>
        <w:t>tragen und zu überprüfen.</w:t>
      </w:r>
    </w:p>
  </w:footnote>
  <w:footnote w:id="4">
    <w:p w:rsidR="002E590F" w:rsidRDefault="002E590F" w:rsidP="002E590F">
      <w:pPr>
        <w:pStyle w:val="Funotentext"/>
      </w:pPr>
      <w:r>
        <w:rPr>
          <w:rStyle w:val="Funotenzeichen"/>
        </w:rPr>
        <w:footnoteRef/>
      </w:r>
      <w:r>
        <w:t xml:space="preserve"> Als sehr lustig empfanden die Schüler(innen) den Moment, als das Licht angeschaltet und die Ergebnisse der Zeichnungen sichtbar wurden. Doch neben dem heiteren Aspekt wurde ihnen durc</w:t>
      </w:r>
      <w:r>
        <w:t>h</w:t>
      </w:r>
      <w:r>
        <w:t>aus klar, dass sich in ihrem Kopf das „richtige“ Bild der Zeichnung b</w:t>
      </w:r>
      <w:r>
        <w:t>e</w:t>
      </w:r>
      <w:r>
        <w:t>fand.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240B7"/>
    <w:multiLevelType w:val="hybridMultilevel"/>
    <w:tmpl w:val="D77090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AA02B9"/>
    <w:multiLevelType w:val="hybridMultilevel"/>
    <w:tmpl w:val="60504C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F1A66"/>
    <w:multiLevelType w:val="hybridMultilevel"/>
    <w:tmpl w:val="DBC004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0F"/>
    <w:rsid w:val="002E590F"/>
    <w:rsid w:val="009F46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B3F6975C-9486-4D00-B843-55AF3DA6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590F"/>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right" w:pos="9072"/>
      </w:tabs>
      <w:overflowPunct w:val="0"/>
      <w:autoSpaceDE w:val="0"/>
      <w:autoSpaceDN w:val="0"/>
      <w:adjustRightInd w:val="0"/>
      <w:spacing w:after="0" w:line="360" w:lineRule="auto"/>
      <w:jc w:val="both"/>
      <w:textAlignment w:val="baseline"/>
    </w:pPr>
    <w:rPr>
      <w:rFonts w:ascii="Garamond" w:eastAsia="Times New Roman" w:hAnsi="Garamond"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E590F"/>
    <w:pPr>
      <w:tabs>
        <w:tab w:val="clear" w:pos="4253"/>
        <w:tab w:val="clear" w:pos="8505"/>
        <w:tab w:val="left" w:pos="851"/>
        <w:tab w:val="center" w:pos="4252"/>
        <w:tab w:val="left" w:pos="4536"/>
        <w:tab w:val="right" w:pos="8504"/>
      </w:tabs>
      <w:spacing w:before="60"/>
    </w:pPr>
  </w:style>
  <w:style w:type="character" w:customStyle="1" w:styleId="KopfzeileZchn">
    <w:name w:val="Kopfzeile Zchn"/>
    <w:basedOn w:val="Absatz-Standardschriftart"/>
    <w:link w:val="Kopfzeile"/>
    <w:rsid w:val="002E590F"/>
    <w:rPr>
      <w:rFonts w:ascii="Garamond" w:eastAsia="Times New Roman" w:hAnsi="Garamond" w:cs="Times New Roman"/>
      <w:sz w:val="24"/>
      <w:szCs w:val="20"/>
      <w:lang w:eastAsia="de-DE"/>
    </w:rPr>
  </w:style>
  <w:style w:type="paragraph" w:styleId="StandardWeb">
    <w:name w:val="Normal (Web)"/>
    <w:basedOn w:val="Standard"/>
    <w:uiPriority w:val="99"/>
    <w:semiHidden/>
    <w:unhideWhenUsed/>
    <w:rsid w:val="002E590F"/>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lear" w:pos="8505"/>
        <w:tab w:val="clear" w:pos="9072"/>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Cs w:val="24"/>
    </w:rPr>
  </w:style>
  <w:style w:type="paragraph" w:styleId="Funotentext">
    <w:name w:val="footnote text"/>
    <w:basedOn w:val="Standard"/>
    <w:link w:val="FunotentextZchn"/>
    <w:semiHidden/>
    <w:rsid w:val="002E590F"/>
    <w:pPr>
      <w:tabs>
        <w:tab w:val="left" w:pos="851"/>
        <w:tab w:val="left" w:pos="4536"/>
      </w:tabs>
      <w:spacing w:before="60" w:line="240" w:lineRule="auto"/>
    </w:pPr>
    <w:rPr>
      <w:sz w:val="20"/>
    </w:rPr>
  </w:style>
  <w:style w:type="character" w:customStyle="1" w:styleId="FunotentextZchn">
    <w:name w:val="Fußnotentext Zchn"/>
    <w:basedOn w:val="Absatz-Standardschriftart"/>
    <w:link w:val="Funotentext"/>
    <w:semiHidden/>
    <w:rsid w:val="002E590F"/>
    <w:rPr>
      <w:rFonts w:ascii="Garamond" w:eastAsia="Times New Roman" w:hAnsi="Garamond" w:cs="Times New Roman"/>
      <w:sz w:val="20"/>
      <w:szCs w:val="20"/>
      <w:lang w:eastAsia="de-DE"/>
    </w:rPr>
  </w:style>
  <w:style w:type="character" w:styleId="Funotenzeichen">
    <w:name w:val="footnote reference"/>
    <w:semiHidden/>
    <w:rsid w:val="002E590F"/>
    <w:rPr>
      <w:vertAlign w:val="superscript"/>
    </w:rPr>
  </w:style>
  <w:style w:type="paragraph" w:styleId="Textkrper-Einzug2">
    <w:name w:val="Body Text Indent 2"/>
    <w:basedOn w:val="Standard"/>
    <w:link w:val="Textkrper-Einzug2Zchn"/>
    <w:rsid w:val="002E590F"/>
    <w:pPr>
      <w:keepNext/>
      <w:tabs>
        <w:tab w:val="clear" w:pos="709"/>
      </w:tabs>
      <w:ind w:left="357"/>
    </w:pPr>
  </w:style>
  <w:style w:type="character" w:customStyle="1" w:styleId="Textkrper-Einzug2Zchn">
    <w:name w:val="Textkörper-Einzug 2 Zchn"/>
    <w:basedOn w:val="Absatz-Standardschriftart"/>
    <w:link w:val="Textkrper-Einzug2"/>
    <w:rsid w:val="002E590F"/>
    <w:rPr>
      <w:rFonts w:ascii="Garamond" w:eastAsia="Times New Roman" w:hAnsi="Garamond" w:cs="Times New Roman"/>
      <w:sz w:val="24"/>
      <w:szCs w:val="20"/>
      <w:lang w:eastAsia="de-DE"/>
    </w:rPr>
  </w:style>
  <w:style w:type="paragraph" w:styleId="Textkrper-Einzug3">
    <w:name w:val="Body Text Indent 3"/>
    <w:basedOn w:val="Standard"/>
    <w:link w:val="Textkrper-Einzug3Zchn"/>
    <w:rsid w:val="002E590F"/>
    <w:pPr>
      <w:tabs>
        <w:tab w:val="clear" w:pos="709"/>
      </w:tabs>
      <w:ind w:left="360"/>
    </w:pPr>
  </w:style>
  <w:style w:type="character" w:customStyle="1" w:styleId="Textkrper-Einzug3Zchn">
    <w:name w:val="Textkörper-Einzug 3 Zchn"/>
    <w:basedOn w:val="Absatz-Standardschriftart"/>
    <w:link w:val="Textkrper-Einzug3"/>
    <w:rsid w:val="002E590F"/>
    <w:rPr>
      <w:rFonts w:ascii="Garamond" w:eastAsia="Times New Roman" w:hAnsi="Garamond" w:cs="Times New Roman"/>
      <w:sz w:val="24"/>
      <w:szCs w:val="20"/>
      <w:lang w:eastAsia="de-DE"/>
    </w:rPr>
  </w:style>
  <w:style w:type="character" w:styleId="Hyperlink">
    <w:name w:val="Hyperlink"/>
    <w:rsid w:val="002E5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tjes@viktoriaschule-aach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8611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Gebhardt</dc:creator>
  <cp:keywords/>
  <dc:description/>
  <cp:lastModifiedBy>Martin Gebhardt</cp:lastModifiedBy>
  <cp:revision>1</cp:revision>
  <dcterms:created xsi:type="dcterms:W3CDTF">2018-03-22T11:12:00Z</dcterms:created>
  <dcterms:modified xsi:type="dcterms:W3CDTF">2018-03-22T11:21:00Z</dcterms:modified>
</cp:coreProperties>
</file>